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B6D8D" w14:textId="79C0AEFC" w:rsidR="00C10618" w:rsidRPr="006725A6" w:rsidRDefault="003E2C47" w:rsidP="00C10618">
      <w:pPr>
        <w:bidi/>
        <w:rPr>
          <w:rFonts w:ascii="Cambria" w:hAnsi="Cambria" w:cs="Arial"/>
          <w:b/>
          <w:bCs/>
          <w:sz w:val="24"/>
          <w:szCs w:val="24"/>
          <w:lang w:val="en-US"/>
        </w:rPr>
      </w:pPr>
      <w:r w:rsidRPr="006725A6">
        <w:rPr>
          <w:rFonts w:ascii="Cambria" w:hAnsi="Cambria" w:cs="Calibr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0B5761E4" wp14:editId="3D94C276">
            <wp:simplePos x="0" y="0"/>
            <wp:positionH relativeFrom="column">
              <wp:posOffset>4476750</wp:posOffset>
            </wp:positionH>
            <wp:positionV relativeFrom="paragraph">
              <wp:posOffset>-228600</wp:posOffset>
            </wp:positionV>
            <wp:extent cx="1962150" cy="388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5A6"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2F59E" wp14:editId="7897774B">
                <wp:simplePos x="0" y="0"/>
                <wp:positionH relativeFrom="column">
                  <wp:posOffset>-593725</wp:posOffset>
                </wp:positionH>
                <wp:positionV relativeFrom="paragraph">
                  <wp:posOffset>-206375</wp:posOffset>
                </wp:positionV>
                <wp:extent cx="5067300" cy="337820"/>
                <wp:effectExtent l="0" t="0" r="0" b="5080"/>
                <wp:wrapNone/>
                <wp:docPr id="10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37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BB632" id="Rectangle 54" o:spid="_x0000_s1026" style="position:absolute;margin-left:-46.75pt;margin-top:-16.25pt;width:399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" fillcolor="#1f3763 [1604]" stroked="f"/>
            </w:pict>
          </mc:Fallback>
        </mc:AlternateContent>
      </w:r>
      <w:r w:rsidRPr="006725A6">
        <w:rPr>
          <w:rFonts w:ascii="Cambria" w:hAnsi="Cambria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B9A97" wp14:editId="2EF486D5">
                <wp:simplePos x="0" y="0"/>
                <wp:positionH relativeFrom="column">
                  <wp:posOffset>6225540</wp:posOffset>
                </wp:positionH>
                <wp:positionV relativeFrom="paragraph">
                  <wp:posOffset>-212725</wp:posOffset>
                </wp:positionV>
                <wp:extent cx="550545" cy="338455"/>
                <wp:effectExtent l="0" t="0" r="20955" b="23495"/>
                <wp:wrapNone/>
                <wp:docPr id="10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338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A4674" id="Rectangle 59" o:spid="_x0000_s1026" style="position:absolute;margin-left:490.2pt;margin-top:-16.75pt;width:43.3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" fillcolor="#1f3763 [1604]" strokecolor="#4472c4 [3204]"/>
            </w:pict>
          </mc:Fallback>
        </mc:AlternateContent>
      </w:r>
    </w:p>
    <w:p w14:paraId="50E79E22" w14:textId="08D80AD6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04C0A20D" w14:textId="5F25B2E0" w:rsidR="00C10618" w:rsidRPr="006725A6" w:rsidRDefault="005968D3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  <w:r w:rsidRPr="006725A6">
        <w:rPr>
          <w:rFonts w:ascii="Cambria" w:hAnsi="Cambria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44C16A3" wp14:editId="360D4E32">
            <wp:simplePos x="0" y="0"/>
            <wp:positionH relativeFrom="column">
              <wp:posOffset>-207010</wp:posOffset>
            </wp:positionH>
            <wp:positionV relativeFrom="paragraph">
              <wp:posOffset>449580</wp:posOffset>
            </wp:positionV>
            <wp:extent cx="6760210" cy="5217795"/>
            <wp:effectExtent l="19050" t="0" r="21590" b="1621155"/>
            <wp:wrapNone/>
            <wp:docPr id="4" name="Picture 4" descr="C:\Users\user\Desktop\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atermar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52177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6C3A5DD4" w14:textId="4A4A45C1" w:rsidR="00C10618" w:rsidRPr="006725A6" w:rsidRDefault="00C10618" w:rsidP="005968D3">
      <w:pPr>
        <w:bidi/>
        <w:jc w:val="right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54F0DCC3" w14:textId="77777777" w:rsidR="005968D3" w:rsidRPr="006725A6" w:rsidRDefault="005968D3" w:rsidP="00C10618">
      <w:pPr>
        <w:bidi/>
        <w:jc w:val="center"/>
        <w:rPr>
          <w:rFonts w:ascii="Cambria" w:hAnsi="Cambria" w:cs="RubyScriptExtrabold"/>
          <w:b/>
          <w:bCs/>
          <w:color w:val="1F3864" w:themeColor="accent1" w:themeShade="80"/>
          <w:sz w:val="24"/>
          <w:szCs w:val="24"/>
          <w:rtl/>
        </w:rPr>
      </w:pPr>
    </w:p>
    <w:p w14:paraId="7C1466D4" w14:textId="1C4C592B" w:rsidR="00C10618" w:rsidRPr="006725A6" w:rsidRDefault="0064360B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  <w:r w:rsidRPr="006725A6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>Fellowship in</w:t>
      </w:r>
      <w:r w:rsidR="00E13323" w:rsidRPr="00E13323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 xml:space="preserve"> Pe</w:t>
      </w:r>
      <w:r w:rsidR="00C40CB8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>d</w:t>
      </w:r>
      <w:r w:rsidR="003E40DF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>iatric Dentistry</w:t>
      </w:r>
    </w:p>
    <w:p w14:paraId="362DAE67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3BA9829B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4EB52847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504AFD2E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0BFD48F2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63F36A33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4601F562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3F68DC84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24B5418B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1404A721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51FFD3FC" w14:textId="77777777" w:rsidR="00C10618" w:rsidRPr="006725A6" w:rsidRDefault="00C10618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17A21AA5" w14:textId="77777777" w:rsidR="00C10618" w:rsidRPr="006725A6" w:rsidRDefault="00C10618" w:rsidP="00C10618">
      <w:pPr>
        <w:bidi/>
        <w:jc w:val="center"/>
        <w:rPr>
          <w:rFonts w:ascii="Cambria" w:hAnsi="Cambria" w:cstheme="majorBidi"/>
          <w:b/>
          <w:bCs/>
          <w:sz w:val="48"/>
          <w:szCs w:val="48"/>
          <w:lang w:val="en-US"/>
        </w:rPr>
      </w:pPr>
    </w:p>
    <w:p w14:paraId="6B1667E9" w14:textId="5FA6037D" w:rsidR="00C10618" w:rsidRPr="006725A6" w:rsidRDefault="00C10618" w:rsidP="00806084">
      <w:pPr>
        <w:bidi/>
        <w:jc w:val="center"/>
        <w:rPr>
          <w:rFonts w:ascii="Cambria" w:hAnsi="Cambria" w:cstheme="majorBidi"/>
          <w:b/>
          <w:bCs/>
          <w:color w:val="000000" w:themeColor="text1"/>
          <w:sz w:val="48"/>
          <w:szCs w:val="48"/>
          <w:rtl/>
          <w:lang w:val="en-US"/>
        </w:rPr>
      </w:pPr>
    </w:p>
    <w:p w14:paraId="37520E7D" w14:textId="77777777" w:rsidR="005968D3" w:rsidRPr="006725A6" w:rsidRDefault="005968D3" w:rsidP="005968D3">
      <w:pPr>
        <w:bidi/>
        <w:jc w:val="center"/>
        <w:rPr>
          <w:rFonts w:ascii="Cambria" w:hAnsi="Cambria" w:cstheme="majorBidi"/>
          <w:b/>
          <w:bCs/>
          <w:color w:val="000000" w:themeColor="text1"/>
          <w:sz w:val="48"/>
          <w:szCs w:val="48"/>
          <w:lang w:val="en-US"/>
        </w:rPr>
      </w:pPr>
    </w:p>
    <w:p w14:paraId="70FC86FB" w14:textId="17C48432" w:rsidR="0064360B" w:rsidRPr="006725A6" w:rsidRDefault="0064360B" w:rsidP="00C0015D">
      <w:pPr>
        <w:bidi/>
        <w:jc w:val="center"/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</w:pPr>
      <w:r w:rsidRPr="006725A6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 xml:space="preserve">Department of </w:t>
      </w:r>
      <w:r w:rsidR="00E13323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>Preventive</w:t>
      </w:r>
      <w:r w:rsidRPr="006725A6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 xml:space="preserve"> Dental Sciences College of Dentistry</w:t>
      </w:r>
      <w:r w:rsidRPr="006725A6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  <w:rtl/>
        </w:rPr>
        <w:t xml:space="preserve"> </w:t>
      </w:r>
    </w:p>
    <w:p w14:paraId="0C4FE17C" w14:textId="79E81890" w:rsidR="00C10618" w:rsidRPr="006725A6" w:rsidRDefault="0064360B" w:rsidP="00C10618">
      <w:pPr>
        <w:bidi/>
        <w:jc w:val="center"/>
        <w:rPr>
          <w:rFonts w:ascii="Cambria" w:hAnsi="Cambria" w:cs="Arial"/>
          <w:b/>
          <w:bCs/>
          <w:sz w:val="24"/>
          <w:szCs w:val="24"/>
          <w:lang w:val="en-US"/>
        </w:rPr>
      </w:pPr>
      <w:r w:rsidRPr="006725A6">
        <w:rPr>
          <w:rFonts w:ascii="Cambria" w:hAnsi="Cambria" w:cs="Times New Roman"/>
          <w:b/>
          <w:bCs/>
          <w:color w:val="1F3864" w:themeColor="accent1" w:themeShade="80"/>
          <w:sz w:val="48"/>
          <w:szCs w:val="48"/>
        </w:rPr>
        <w:t>Imam Abdulrahman Bin Faisal University</w:t>
      </w:r>
    </w:p>
    <w:p w14:paraId="091055FF" w14:textId="5803476B" w:rsidR="00C0015D" w:rsidRPr="006725A6" w:rsidRDefault="00C0015D" w:rsidP="005968D3">
      <w:pPr>
        <w:bidi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10D7BE7F" w14:textId="77777777" w:rsidR="0064360B" w:rsidRPr="006725A6" w:rsidRDefault="0064360B" w:rsidP="0064360B">
      <w:pPr>
        <w:bidi/>
        <w:jc w:val="right"/>
        <w:rPr>
          <w:rFonts w:ascii="Cambria" w:hAnsi="Cambria" w:cs="Arial"/>
          <w:b/>
          <w:bCs/>
          <w:sz w:val="24"/>
          <w:szCs w:val="24"/>
          <w:lang w:val="en-US"/>
        </w:rPr>
      </w:pPr>
    </w:p>
    <w:p w14:paraId="570FC2F8" w14:textId="3F57CFD1" w:rsidR="00C0015D" w:rsidRPr="006725A6" w:rsidRDefault="00C0015D" w:rsidP="003E2C47">
      <w:pPr>
        <w:pStyle w:val="Header"/>
        <w:rPr>
          <w:rFonts w:ascii="Cambria" w:hAnsi="Cambria"/>
          <w:color w:val="FFFFFF"/>
          <w:sz w:val="16"/>
          <w:szCs w:val="16"/>
        </w:rPr>
      </w:pPr>
    </w:p>
    <w:p w14:paraId="72A50200" w14:textId="4A439C0D" w:rsidR="0023034A" w:rsidRPr="006725A6" w:rsidRDefault="0064360B" w:rsidP="0064360B">
      <w:pPr>
        <w:bidi/>
        <w:spacing w:line="276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6725A6"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  <w:t xml:space="preserve">Program name: </w:t>
      </w:r>
      <w:r w:rsidRPr="006725A6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Fellowship</w:t>
      </w:r>
    </w:p>
    <w:p w14:paraId="1EC66CE0" w14:textId="5C4EA2A0" w:rsidR="0064360B" w:rsidRPr="006725A6" w:rsidRDefault="0064360B" w:rsidP="003E40DF">
      <w:pPr>
        <w:bidi/>
        <w:spacing w:line="276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6725A6"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  <w:t xml:space="preserve">Name of the degree awarded: </w:t>
      </w:r>
      <w:r w:rsidRPr="006725A6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Fellowship in </w:t>
      </w:r>
      <w:r w:rsidR="003E40DF" w:rsidRPr="003E40DF">
        <w:rPr>
          <w:rFonts w:ascii="Cambria" w:hAnsi="Cambria" w:cstheme="majorBidi"/>
          <w:color w:val="000000" w:themeColor="text1"/>
          <w:sz w:val="24"/>
          <w:szCs w:val="24"/>
        </w:rPr>
        <w:t>Pediatric Dentistry</w:t>
      </w:r>
    </w:p>
    <w:p w14:paraId="49BAB108" w14:textId="4B6F5EE5" w:rsidR="0064360B" w:rsidRPr="006725A6" w:rsidRDefault="0064360B" w:rsidP="0064360B">
      <w:pPr>
        <w:bidi/>
        <w:spacing w:line="276" w:lineRule="auto"/>
        <w:jc w:val="right"/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</w:pPr>
      <w:r w:rsidRPr="006725A6"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  <w:t>Objectives of the program:</w:t>
      </w:r>
    </w:p>
    <w:p w14:paraId="3F468B5E" w14:textId="32A249B2" w:rsidR="00E13323" w:rsidRPr="00E13323" w:rsidRDefault="00E13323" w:rsidP="00E13323">
      <w:pPr>
        <w:spacing w:line="276" w:lineRule="auto"/>
        <w:rPr>
          <w:rFonts w:ascii="Cambria" w:hAnsi="Cambria" w:cstheme="majorBidi"/>
          <w:color w:val="000000" w:themeColor="text1"/>
          <w:sz w:val="24"/>
          <w:szCs w:val="24"/>
          <w:rtl/>
          <w:lang w:val="en-US"/>
        </w:rPr>
      </w:pPr>
      <w:r w:rsidRPr="00E13323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Upon completion of the Fellowship program, graduates will: </w:t>
      </w:r>
    </w:p>
    <w:p w14:paraId="75757B3D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1. Be clinically competent professionals, able to practice Pediatric Dentistry</w:t>
      </w:r>
    </w:p>
    <w:p w14:paraId="3705B8C4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independently drawing on their in-depth understanding of the art and science of</w:t>
      </w:r>
    </w:p>
    <w:p w14:paraId="718DF65D" w14:textId="7B687892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the specialty.</w:t>
      </w:r>
    </w:p>
    <w:p w14:paraId="71E66A07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6E3152B5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2. Be able to demonstrate understanding of all areas of Pediatric Dentistry consistent</w:t>
      </w:r>
    </w:p>
    <w:p w14:paraId="753ECC95" w14:textId="2F7E8B73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with advanced education standards.</w:t>
      </w:r>
    </w:p>
    <w:p w14:paraId="24B88CD3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053B6073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3. Be able to educate and guide the child and parent to accept and practice oral</w:t>
      </w:r>
    </w:p>
    <w:p w14:paraId="51EFDA0B" w14:textId="56FF5085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health care with preventive concepts on foundation of clinical practice.</w:t>
      </w:r>
    </w:p>
    <w:p w14:paraId="1BC0DE4D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798CAFA9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4. Be able to understand the physical and chemical properties of medications and</w:t>
      </w:r>
    </w:p>
    <w:p w14:paraId="253BD42B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dental materials used in treatment and physiologic responses of the child and</w:t>
      </w:r>
    </w:p>
    <w:p w14:paraId="03472D26" w14:textId="511CFD99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adolescent to these agents.</w:t>
      </w:r>
    </w:p>
    <w:p w14:paraId="6039B750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C9BAEC5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5. Be able to explain the growth and development of the stomatognathic system and</w:t>
      </w:r>
    </w:p>
    <w:p w14:paraId="5B8C9C99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apply this knowledge to provide treatment aimed at allowing optimal development</w:t>
      </w:r>
    </w:p>
    <w:p w14:paraId="3C60930B" w14:textId="213A6503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of this system.</w:t>
      </w:r>
    </w:p>
    <w:p w14:paraId="5841DB9C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FF5D154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6. Possess an in-depth knowledge of basic sciences as they relate to the clinical</w:t>
      </w:r>
    </w:p>
    <w:p w14:paraId="746C7687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diagnosis and treatment of occlusal problems in primary, mixed, and young</w:t>
      </w:r>
    </w:p>
    <w:p w14:paraId="000C1248" w14:textId="7192E05C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permanent dentition.</w:t>
      </w:r>
    </w:p>
    <w:p w14:paraId="2AB630D2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6A2603BC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7. Be able to understand and provide control of pain and anxiety </w:t>
      </w:r>
      <w:proofErr w:type="gramStart"/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through the use of</w:t>
      </w:r>
      <w:proofErr w:type="gramEnd"/>
    </w:p>
    <w:p w14:paraId="4F6A2A40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psychologic and pharmacologic methods including provision of dental care in the</w:t>
      </w:r>
    </w:p>
    <w:p w14:paraId="36E3B064" w14:textId="2A7BA475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hospital.</w:t>
      </w:r>
    </w:p>
    <w:p w14:paraId="6460F0DF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7F2CFAF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8. Know how to apply the appropriate advanced clinical procedures, based on as well</w:t>
      </w:r>
    </w:p>
    <w:p w14:paraId="191640DF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as the principles of </w:t>
      </w:r>
      <w:r w:rsidRPr="00C40CB8">
        <w:rPr>
          <w:rFonts w:ascii="Cambria" w:hAnsi="Cambria" w:cstheme="majorBidi" w:hint="cs"/>
          <w:color w:val="000000" w:themeColor="text1"/>
          <w:sz w:val="24"/>
          <w:szCs w:val="24"/>
          <w:lang w:val="en-US"/>
        </w:rPr>
        <w:t>“</w:t>
      </w: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evidence-based dentistry (EBD)</w:t>
      </w:r>
      <w:r w:rsidRPr="00C40CB8">
        <w:rPr>
          <w:rFonts w:ascii="Cambria" w:hAnsi="Cambria" w:cstheme="majorBidi" w:hint="cs"/>
          <w:color w:val="000000" w:themeColor="text1"/>
          <w:sz w:val="24"/>
          <w:szCs w:val="24"/>
          <w:lang w:val="en-US"/>
        </w:rPr>
        <w:t>”</w:t>
      </w: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 in accordance with the needs</w:t>
      </w:r>
    </w:p>
    <w:p w14:paraId="05C36BC1" w14:textId="76058914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of each individual patient.</w:t>
      </w:r>
    </w:p>
    <w:p w14:paraId="4D68BDF3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35097C31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9. Be able to diagnose and manage post-operative complications and dental</w:t>
      </w:r>
    </w:p>
    <w:p w14:paraId="47EE3CAA" w14:textId="464BEC84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emergencies.</w:t>
      </w:r>
    </w:p>
    <w:p w14:paraId="69BD6A9A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248B4C3E" w14:textId="75521FFA" w:rsidR="00F83494" w:rsidRPr="00C40CB8" w:rsidRDefault="00C40CB8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10. Possess the expertise to design, implement and oversee an appropriate postoperativ</w:t>
      </w:r>
      <w:r w:rsid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e </w:t>
      </w:r>
      <w:r w:rsidR="00F83494"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maintenance regimen and patient recall progra</w:t>
      </w:r>
      <w:r w:rsid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m.</w:t>
      </w:r>
    </w:p>
    <w:p w14:paraId="199A2FEF" w14:textId="0EF8AEAF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31487D2B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11. Know how to access the dental scientific literature to maintain contemporary</w:t>
      </w:r>
    </w:p>
    <w:p w14:paraId="44F6ADCB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professional knowledge and evaluate new dental products and procedures using</w:t>
      </w:r>
    </w:p>
    <w:p w14:paraId="4676100D" w14:textId="6AA1A0B2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critical thinking skills.</w:t>
      </w:r>
    </w:p>
    <w:p w14:paraId="559EB5A3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3A528B41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lastRenderedPageBreak/>
        <w:t>12. Be able to apply those critical thinking skills when analyzing patient situations to</w:t>
      </w:r>
    </w:p>
    <w:p w14:paraId="0BB50FDD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reach a diagnosis before proceeding with treatment and know when to recommend</w:t>
      </w:r>
    </w:p>
    <w:p w14:paraId="3C2E3D32" w14:textId="44AB1A69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second opinion, referral &amp;/or a need for an interdisciplinary care.</w:t>
      </w:r>
    </w:p>
    <w:p w14:paraId="73211312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4EE6B93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13. Satisfy and, where possible, exceed the performance indicators created for the</w:t>
      </w:r>
    </w:p>
    <w:p w14:paraId="2C6A46EE" w14:textId="56E58D14" w:rsidR="00C40CB8" w:rsidRDefault="00C40CB8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program learning outcomes.</w:t>
      </w:r>
    </w:p>
    <w:p w14:paraId="3F6215B4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042FEEA2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10. Join local, regional, national and international organizations in support of dentistry,</w:t>
      </w:r>
    </w:p>
    <w:p w14:paraId="3DE26BFB" w14:textId="30E76146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in general, and Pediatric Dentistry, in particular.</w:t>
      </w:r>
    </w:p>
    <w:p w14:paraId="378B8DD3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32555FB1" w14:textId="77777777" w:rsidR="00C40CB8" w:rsidRP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11. Remain engaged in research efforts independently as well as collaborate with dental</w:t>
      </w:r>
    </w:p>
    <w:p w14:paraId="1044C52C" w14:textId="7FCCB7DB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generalists and specialists as well as other health professionals.</w:t>
      </w:r>
    </w:p>
    <w:p w14:paraId="6BB65573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394CE17B" w14:textId="4CF91796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12. Adopt the philosophy of making a commitment to </w:t>
      </w:r>
      <w:r w:rsidRPr="00C40CB8">
        <w:rPr>
          <w:rFonts w:ascii="Cambria" w:hAnsi="Cambria" w:cstheme="majorBidi" w:hint="cs"/>
          <w:color w:val="000000" w:themeColor="text1"/>
          <w:sz w:val="24"/>
          <w:szCs w:val="24"/>
          <w:lang w:val="en-US"/>
        </w:rPr>
        <w:t>“</w:t>
      </w: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life-long learning.</w:t>
      </w:r>
      <w:r w:rsidRPr="00C40CB8">
        <w:rPr>
          <w:rFonts w:ascii="Cambria" w:hAnsi="Cambria" w:cstheme="majorBidi" w:hint="cs"/>
          <w:color w:val="000000" w:themeColor="text1"/>
          <w:sz w:val="24"/>
          <w:szCs w:val="24"/>
          <w:lang w:val="en-US"/>
        </w:rPr>
        <w:t>”</w:t>
      </w:r>
    </w:p>
    <w:p w14:paraId="0B0AA43F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57303E0" w14:textId="324BB4B1" w:rsidR="00C40CB8" w:rsidRDefault="00C40CB8" w:rsidP="00C40CB8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13. Be able to teach students and young researchers.</w:t>
      </w:r>
    </w:p>
    <w:p w14:paraId="1D5FBFCC" w14:textId="77777777" w:rsidR="00F83494" w:rsidRPr="00C40CB8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7DA53398" w14:textId="77777777" w:rsidR="00C40CB8" w:rsidRDefault="00C40CB8" w:rsidP="00C40CB8">
      <w:pPr>
        <w:bidi/>
        <w:spacing w:after="0" w:line="240" w:lineRule="auto"/>
        <w:jc w:val="right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  <w:r w:rsidRPr="00C40CB8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14. Serve as role models for pre-doctoral and other Fellowship students.</w:t>
      </w:r>
      <w:r w:rsidR="00E13323" w:rsidRPr="00E13323">
        <w:rPr>
          <w:rFonts w:ascii="Cambria" w:hAnsi="Cambria" w:cs="Times New Roman"/>
          <w:color w:val="000000" w:themeColor="text1"/>
          <w:sz w:val="24"/>
          <w:szCs w:val="24"/>
          <w:rtl/>
          <w:lang w:val="en-US"/>
        </w:rPr>
        <w:t xml:space="preserve"> </w:t>
      </w:r>
    </w:p>
    <w:p w14:paraId="70AC1ADC" w14:textId="77777777" w:rsidR="00C40CB8" w:rsidRDefault="00C40CB8" w:rsidP="00C40CB8">
      <w:pPr>
        <w:bidi/>
        <w:spacing w:after="0" w:line="240" w:lineRule="auto"/>
        <w:jc w:val="right"/>
        <w:rPr>
          <w:rFonts w:ascii="Cambria" w:hAnsi="Cambria" w:cs="Times New Roman"/>
          <w:color w:val="000000" w:themeColor="text1"/>
          <w:sz w:val="24"/>
          <w:szCs w:val="24"/>
          <w:lang w:val="en-US"/>
        </w:rPr>
      </w:pPr>
    </w:p>
    <w:p w14:paraId="08E3C81E" w14:textId="77777777" w:rsidR="00F83494" w:rsidRDefault="00951B7E" w:rsidP="00F83494">
      <w:pPr>
        <w:bidi/>
        <w:spacing w:after="0" w:line="240" w:lineRule="auto"/>
        <w:jc w:val="right"/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</w:pPr>
      <w:r w:rsidRPr="006725A6"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  <w:t>Justification for the program’s provision:</w:t>
      </w:r>
    </w:p>
    <w:p w14:paraId="5E264570" w14:textId="77777777" w:rsidR="00F83494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</w:pPr>
    </w:p>
    <w:p w14:paraId="7B549A54" w14:textId="61FAD472" w:rsidR="00F83494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The rationales for the establishment of the Fellowship in Pediatric Dentistry program can</w:t>
      </w:r>
      <w:r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be summarized by the following points:</w:t>
      </w:r>
    </w:p>
    <w:p w14:paraId="6EB4FDBE" w14:textId="77777777" w:rsidR="00F83494" w:rsidRPr="00F83494" w:rsidRDefault="00F83494" w:rsidP="00F83494">
      <w:pPr>
        <w:bidi/>
        <w:spacing w:after="0" w:line="240" w:lineRule="auto"/>
        <w:jc w:val="right"/>
        <w:rPr>
          <w:rFonts w:ascii="Cambria" w:hAnsi="Cambria" w:cstheme="majorBidi"/>
          <w:b/>
          <w:bCs/>
          <w:color w:val="000000" w:themeColor="text1"/>
          <w:sz w:val="24"/>
          <w:szCs w:val="24"/>
          <w:lang w:val="en-US"/>
        </w:rPr>
      </w:pPr>
    </w:p>
    <w:p w14:paraId="77B16FFD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1. The expansion and depth of knowledge, growth in technology and breadth of</w:t>
      </w:r>
    </w:p>
    <w:p w14:paraId="6D223744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clinical skills required in dentistry today has rapidly surpassed the scope of the</w:t>
      </w:r>
    </w:p>
    <w:p w14:paraId="54AF1D5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general dental practice. As in many fields of medicine, specialization in different</w:t>
      </w:r>
    </w:p>
    <w:p w14:paraId="5D068E1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areas of dentistry </w:t>
      </w:r>
      <w:proofErr w:type="gramStart"/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is</w:t>
      </w:r>
      <w:proofErr w:type="gramEnd"/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 a requirement for the College of Dentistry to mirror the levels</w:t>
      </w:r>
    </w:p>
    <w:p w14:paraId="5F86EF1C" w14:textId="3077442E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of education currently provided at other leading universities throughout the world.</w:t>
      </w:r>
    </w:p>
    <w:p w14:paraId="6A7F70C0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68FF9AF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2. As the leading institution for providing graduate training in the Eastern Province,</w:t>
      </w:r>
    </w:p>
    <w:p w14:paraId="6C6A99B8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the Fellowship in Pediatric Dentistry program will enable the College of Dentistry</w:t>
      </w:r>
    </w:p>
    <w:p w14:paraId="50981E4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to expand the levels and quality of dental services currently being provided, aid in</w:t>
      </w:r>
    </w:p>
    <w:p w14:paraId="76CF76EA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the development and progress of other graduate-level dental programs and permit</w:t>
      </w:r>
    </w:p>
    <w:p w14:paraId="1011F462" w14:textId="36156000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the College to provide additional interdisciplinary patient services.</w:t>
      </w:r>
    </w:p>
    <w:p w14:paraId="6D10A934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1BD9135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3. The availability of advanced Pediatric Dentistry services will reduce waiting times</w:t>
      </w:r>
    </w:p>
    <w:p w14:paraId="71C8C6BA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for patients in need of complex treatment </w:t>
      </w:r>
      <w:proofErr w:type="gramStart"/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and also</w:t>
      </w:r>
      <w:proofErr w:type="gramEnd"/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 diminish the need for specialty</w:t>
      </w:r>
    </w:p>
    <w:p w14:paraId="3E7CB5A5" w14:textId="33381B7D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services presently provided in different health institutes.</w:t>
      </w:r>
    </w:p>
    <w:p w14:paraId="0A835DF5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1516052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4. The Fellowship in Pediatric Dentistry program, therefore, will train generations of</w:t>
      </w:r>
    </w:p>
    <w:p w14:paraId="39E8FA6A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clinicians in the specialty and address any shortage of pediatric dentists in different</w:t>
      </w:r>
    </w:p>
    <w:p w14:paraId="39DB7911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health institutes in the Eastern Region. It will also encourage graduates to consider</w:t>
      </w:r>
    </w:p>
    <w:p w14:paraId="33C062BC" w14:textId="6CB847C8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careers in academia.</w:t>
      </w:r>
    </w:p>
    <w:p w14:paraId="74A6C44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76988CCD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5. The Program also will stimulate the interest of the Saudi dental community in</w:t>
      </w:r>
    </w:p>
    <w:p w14:paraId="555E91C0" w14:textId="3CC5DFE5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terms of continuing professional development.</w:t>
      </w:r>
    </w:p>
    <w:p w14:paraId="0E2B1BE7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280A6791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6. The program will also serve to fulfill the Kingdom vision 2030 by increasing the</w:t>
      </w:r>
    </w:p>
    <w:p w14:paraId="3233DFF9" w14:textId="26DA19E0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lastRenderedPageBreak/>
        <w:t>number of postgraduate programs and postgraduate graduates.</w:t>
      </w:r>
    </w:p>
    <w:p w14:paraId="181F7F9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0B241313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7. The availability of a Fellowship in Pediatric Dentistry program at the Imam</w:t>
      </w:r>
    </w:p>
    <w:p w14:paraId="01FC7B8D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Abdulrahman Bin Faisal University will also offer qualified Saudi dentists an</w:t>
      </w:r>
    </w:p>
    <w:p w14:paraId="4E1C73D0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alternative to external scholarships. This, in turn, will provide for an improved pool</w:t>
      </w:r>
    </w:p>
    <w:p w14:paraId="3493D71F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of qualified candidates for the program </w:t>
      </w:r>
      <w:proofErr w:type="gramStart"/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and also</w:t>
      </w:r>
      <w:proofErr w:type="gramEnd"/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 xml:space="preserve"> have positive implications for the</w:t>
      </w:r>
    </w:p>
    <w:p w14:paraId="26B0819A" w14:textId="0B6F90B1" w:rsid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Saudi economy.</w:t>
      </w:r>
    </w:p>
    <w:p w14:paraId="520E83EE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5C68B368" w14:textId="77777777" w:rsidR="00F83494" w:rsidRPr="00F83494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8. The creation of this program not only will provide for the training of local graduates,</w:t>
      </w:r>
    </w:p>
    <w:p w14:paraId="625E336F" w14:textId="11E8330E" w:rsidR="006725A6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  <w:r w:rsidRPr="00F83494">
        <w:rPr>
          <w:rFonts w:ascii="Cambria" w:hAnsi="Cambria" w:cstheme="majorBidi"/>
          <w:color w:val="000000" w:themeColor="text1"/>
          <w:sz w:val="24"/>
          <w:szCs w:val="24"/>
          <w:lang w:val="en-US"/>
        </w:rPr>
        <w:t>it also will lead to increased employment for Saudi nationals.</w:t>
      </w:r>
    </w:p>
    <w:p w14:paraId="13FB61A7" w14:textId="77777777" w:rsidR="00F83494" w:rsidRPr="006725A6" w:rsidRDefault="00F83494" w:rsidP="00F83494">
      <w:pPr>
        <w:spacing w:after="0" w:line="240" w:lineRule="auto"/>
        <w:rPr>
          <w:rFonts w:ascii="Cambria" w:hAnsi="Cambria" w:cstheme="majorBidi"/>
          <w:color w:val="000000" w:themeColor="text1"/>
          <w:sz w:val="24"/>
          <w:szCs w:val="24"/>
          <w:lang w:val="en-US"/>
        </w:rPr>
      </w:pPr>
    </w:p>
    <w:p w14:paraId="69B50124" w14:textId="0DBA77A6" w:rsidR="00951B7E" w:rsidRPr="006725A6" w:rsidRDefault="00951B7E" w:rsidP="00951B7E">
      <w:pPr>
        <w:bidi/>
        <w:jc w:val="right"/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</w:pPr>
      <w:r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>Study plan:</w:t>
      </w:r>
    </w:p>
    <w:p w14:paraId="4402E4B1" w14:textId="431C684D" w:rsidR="001844DC" w:rsidRPr="001844DC" w:rsidRDefault="001844DC" w:rsidP="001844DC">
      <w:pPr>
        <w:bidi/>
        <w:spacing w:line="276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 Fellowship in Pediatric Dentistry program consists of a comprehensive, 4-year curriculum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of full-time study composed of 8 academic semesters along with four (3) short, summer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sessions.</w:t>
      </w:r>
    </w:p>
    <w:p w14:paraId="6BB58DB8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 curriculum has been designed to graduate students with an in-depth knowledge</w:t>
      </w:r>
    </w:p>
    <w:p w14:paraId="2F0AAED3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and the technical skills required for the practice of Pediatric Dentistry, prepare them for</w:t>
      </w:r>
    </w:p>
    <w:p w14:paraId="47E1AC8B" w14:textId="5CCAFC11" w:rsid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teaching and provide them with experience and training in research methods. To achieve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these goals students will work in an exciting, contemporary, and fast-paced educational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environment.</w:t>
      </w:r>
    </w:p>
    <w:p w14:paraId="72350F16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7AD342F1" w14:textId="44C28FCA" w:rsidR="000E62FB" w:rsidRPr="006725A6" w:rsidRDefault="00957BA4" w:rsidP="00126888">
      <w:pPr>
        <w:bidi/>
        <w:spacing w:line="276" w:lineRule="auto"/>
        <w:jc w:val="right"/>
        <w:rPr>
          <w:rFonts w:ascii="Cambria" w:hAnsi="Cambria" w:cs="Arial"/>
          <w:color w:val="000000" w:themeColor="text1"/>
          <w:sz w:val="24"/>
          <w:szCs w:val="24"/>
          <w:rtl/>
          <w:lang w:val="en-US"/>
        </w:rPr>
      </w:pPr>
      <w:r w:rsidRPr="006725A6">
        <w:rPr>
          <w:rFonts w:ascii="Cambria" w:hAnsi="Cambria" w:cs="Arial"/>
          <w:color w:val="000000" w:themeColor="text1"/>
          <w:sz w:val="24"/>
          <w:szCs w:val="24"/>
          <w:lang w:val="en-US"/>
        </w:rPr>
        <w:t>The program is structured with the following allocations of activity and time: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4508"/>
        <w:gridCol w:w="4508"/>
      </w:tblGrid>
      <w:tr w:rsidR="00B3164C" w:rsidRPr="006725A6" w14:paraId="4EF33E65" w14:textId="77777777" w:rsidTr="00957BA4">
        <w:trPr>
          <w:jc w:val="right"/>
        </w:trPr>
        <w:tc>
          <w:tcPr>
            <w:tcW w:w="4508" w:type="dxa"/>
          </w:tcPr>
          <w:p w14:paraId="1CD435E5" w14:textId="70E21ACE" w:rsidR="00CD4A42" w:rsidRPr="006725A6" w:rsidRDefault="00957BA4" w:rsidP="00957BA4">
            <w:pPr>
              <w:bidi/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%</w:t>
            </w: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  <w:t>36</w:t>
            </w:r>
          </w:p>
        </w:tc>
        <w:tc>
          <w:tcPr>
            <w:tcW w:w="4508" w:type="dxa"/>
          </w:tcPr>
          <w:p w14:paraId="14244838" w14:textId="381C7844" w:rsidR="00CD4A42" w:rsidRPr="006725A6" w:rsidRDefault="00957BA4" w:rsidP="00957BA4">
            <w:pPr>
              <w:bidi/>
              <w:spacing w:line="276" w:lineRule="auto"/>
              <w:ind w:firstLine="1458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Didactics</w:t>
            </w:r>
          </w:p>
        </w:tc>
      </w:tr>
      <w:tr w:rsidR="00B3164C" w:rsidRPr="006725A6" w14:paraId="1E3596DA" w14:textId="77777777" w:rsidTr="00957BA4">
        <w:trPr>
          <w:jc w:val="right"/>
        </w:trPr>
        <w:tc>
          <w:tcPr>
            <w:tcW w:w="4508" w:type="dxa"/>
          </w:tcPr>
          <w:p w14:paraId="64AD8F6B" w14:textId="4AE69C8D" w:rsidR="00CD4A42" w:rsidRPr="006725A6" w:rsidRDefault="00957BA4" w:rsidP="00957BA4">
            <w:pPr>
              <w:bidi/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50%</w:t>
            </w:r>
          </w:p>
        </w:tc>
        <w:tc>
          <w:tcPr>
            <w:tcW w:w="4508" w:type="dxa"/>
          </w:tcPr>
          <w:p w14:paraId="7163D6D5" w14:textId="47708EBC" w:rsidR="00CD4A42" w:rsidRPr="006725A6" w:rsidRDefault="00843D61" w:rsidP="00957BA4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ind w:left="144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Clinical/Laboratory</w:t>
            </w:r>
          </w:p>
        </w:tc>
      </w:tr>
      <w:tr w:rsidR="00B3164C" w:rsidRPr="006725A6" w14:paraId="51450AB5" w14:textId="77777777" w:rsidTr="00957BA4">
        <w:trPr>
          <w:jc w:val="right"/>
        </w:trPr>
        <w:tc>
          <w:tcPr>
            <w:tcW w:w="4508" w:type="dxa"/>
          </w:tcPr>
          <w:p w14:paraId="08E8EB36" w14:textId="79C6474E" w:rsidR="00CD4A42" w:rsidRPr="006725A6" w:rsidRDefault="00957BA4" w:rsidP="00957BA4">
            <w:pPr>
              <w:bidi/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10%</w:t>
            </w:r>
          </w:p>
        </w:tc>
        <w:tc>
          <w:tcPr>
            <w:tcW w:w="4508" w:type="dxa"/>
          </w:tcPr>
          <w:p w14:paraId="6A942B11" w14:textId="1592BD94" w:rsidR="00CD4A42" w:rsidRPr="006725A6" w:rsidRDefault="00957BA4" w:rsidP="00957BA4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ind w:left="144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Research</w:t>
            </w:r>
          </w:p>
        </w:tc>
      </w:tr>
      <w:tr w:rsidR="00CD4A42" w:rsidRPr="006725A6" w14:paraId="25654417" w14:textId="77777777" w:rsidTr="00957BA4">
        <w:trPr>
          <w:jc w:val="right"/>
        </w:trPr>
        <w:tc>
          <w:tcPr>
            <w:tcW w:w="4508" w:type="dxa"/>
          </w:tcPr>
          <w:p w14:paraId="60B8B24B" w14:textId="7B0CFDE4" w:rsidR="00CD4A42" w:rsidRPr="006725A6" w:rsidRDefault="00957BA4" w:rsidP="00957BA4">
            <w:pPr>
              <w:bidi/>
              <w:spacing w:line="276" w:lineRule="auto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4%</w:t>
            </w:r>
          </w:p>
        </w:tc>
        <w:tc>
          <w:tcPr>
            <w:tcW w:w="4508" w:type="dxa"/>
          </w:tcPr>
          <w:p w14:paraId="289CE0B5" w14:textId="1FA77DCB" w:rsidR="00CD4A42" w:rsidRPr="006725A6" w:rsidRDefault="00957BA4" w:rsidP="00957BA4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ind w:left="144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rtl/>
                <w:lang w:val="en-US"/>
              </w:rPr>
            </w:pPr>
            <w:r w:rsidRPr="006725A6">
              <w:rPr>
                <w:rFonts w:ascii="Cambria" w:hAnsi="Cambria" w:cs="Arial"/>
                <w:color w:val="000000" w:themeColor="text1"/>
                <w:sz w:val="24"/>
                <w:szCs w:val="24"/>
                <w:lang w:val="en-US"/>
              </w:rPr>
              <w:t>Teaching</w:t>
            </w:r>
          </w:p>
        </w:tc>
      </w:tr>
    </w:tbl>
    <w:p w14:paraId="56368A09" w14:textId="117092AA" w:rsidR="00CD4A42" w:rsidRPr="006725A6" w:rsidRDefault="00CD4A42" w:rsidP="000E62FB">
      <w:pPr>
        <w:bidi/>
        <w:spacing w:after="0" w:line="240" w:lineRule="auto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</w:pPr>
    </w:p>
    <w:p w14:paraId="55537009" w14:textId="4F115A53" w:rsidR="00BF35FA" w:rsidRPr="006725A6" w:rsidRDefault="00BF35FA" w:rsidP="006725A6">
      <w:pPr>
        <w:bidi/>
        <w:spacing w:line="276" w:lineRule="auto"/>
        <w:jc w:val="right"/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</w:pPr>
      <w:bookmarkStart w:id="0" w:name="_Hlk500125135"/>
      <w:r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 xml:space="preserve">General </w:t>
      </w:r>
      <w:r w:rsidR="006725A6"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>o</w:t>
      </w:r>
      <w:r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 xml:space="preserve">verview of the </w:t>
      </w:r>
      <w:r w:rsidR="006725A6"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>p</w:t>
      </w:r>
      <w:r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>rogram</w:t>
      </w:r>
      <w:r w:rsidR="006725A6" w:rsidRPr="006725A6">
        <w:rPr>
          <w:rFonts w:ascii="Cambria" w:hAnsi="Cambria" w:cs="Arial"/>
          <w:b/>
          <w:bCs/>
          <w:color w:val="000000" w:themeColor="text1"/>
          <w:sz w:val="24"/>
          <w:szCs w:val="24"/>
          <w:lang w:val="en-US"/>
        </w:rPr>
        <w:t>:</w:t>
      </w:r>
      <w:r w:rsidRPr="006725A6">
        <w:rPr>
          <w:rFonts w:ascii="Cambria" w:hAnsi="Cambria" w:cs="Arial"/>
          <w:b/>
          <w:bCs/>
          <w:color w:val="000000" w:themeColor="text1"/>
          <w:sz w:val="24"/>
          <w:szCs w:val="24"/>
          <w:rtl/>
          <w:lang w:val="en-US"/>
        </w:rPr>
        <w:t xml:space="preserve"> </w:t>
      </w:r>
    </w:p>
    <w:bookmarkEnd w:id="0"/>
    <w:p w14:paraId="09307D17" w14:textId="0E63AEA0" w:rsidR="001844DC" w:rsidRPr="001844DC" w:rsidRDefault="001844DC" w:rsidP="001844DC">
      <w:pPr>
        <w:bidi/>
        <w:spacing w:line="276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 Fellowship in Pediatric Dentistry program can best be described in the following year</w:t>
      </w:r>
      <w:r w:rsidR="00B3095C">
        <w:rPr>
          <w:rFonts w:ascii="Cambria" w:hAnsi="Cambria" w:cs="Arial"/>
          <w:color w:val="000000" w:themeColor="text1"/>
          <w:sz w:val="24"/>
          <w:szCs w:val="24"/>
          <w:lang w:val="en-US"/>
        </w:rPr>
        <w:t>-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by- year overview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>.</w:t>
      </w:r>
    </w:p>
    <w:p w14:paraId="1DD49CAE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Year 1 </w:t>
      </w:r>
      <w:r w:rsidRPr="001844DC">
        <w:rPr>
          <w:rFonts w:ascii="Cambria" w:hAnsi="Cambria" w:cs="Arial" w:hint="cs"/>
          <w:color w:val="000000" w:themeColor="text1"/>
          <w:sz w:val="24"/>
          <w:szCs w:val="24"/>
          <w:lang w:val="en-US"/>
        </w:rPr>
        <w:t>–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The program begins with preclinical training in the basic technical aspects of</w:t>
      </w:r>
    </w:p>
    <w:p w14:paraId="008B8233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Pediatric Dentistry to assess the individual knowledge of students and calibrate </w:t>
      </w:r>
      <w:proofErr w:type="gramStart"/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their</w:t>
      </w:r>
      <w:proofErr w:type="gramEnd"/>
    </w:p>
    <w:p w14:paraId="030EA0D8" w14:textId="3E1354DF" w:rsid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technical skills to the standards of the College of Dentistry. Core and specialty courses are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provided along with clinical training. The clinical care course continues into the summer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semester.</w:t>
      </w:r>
    </w:p>
    <w:p w14:paraId="06ABB42D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0875CB11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Year 2 - Students will enroll in additional core and specialty courses, continue with advanced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patient care in clinical courses and are introduced to advanced research through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courses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in research methodologies as well as biostatistics. Students are expected to begin their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search for and selection of an appropriate research project by the end of the second year.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A research project should be selected, prepared as a research protocol and submitted for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approval in this year.</w:t>
      </w:r>
    </w:p>
    <w:p w14:paraId="7C1B09ED" w14:textId="29FBF584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0B65BDB7" w14:textId="3458BED0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0AA08F9F" w14:textId="7E36C2C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39190AF3" w14:textId="4CB26FBF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4A8F78CE" w14:textId="01452A1C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74485D85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Year 3 - At this stage in the program students will be expected to begin completing some</w:t>
      </w:r>
    </w:p>
    <w:p w14:paraId="50ED6290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of their advanced clinical cases begun in Year 1 and Year 2 and expand their engagement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in core and specialty courses as well as research. Aside from completion of any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remaining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core and specialty courses, students will continue enrollment in research to complete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their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project by year</w:t>
      </w:r>
      <w:r w:rsidRPr="001844DC">
        <w:rPr>
          <w:rFonts w:ascii="Cambria" w:hAnsi="Cambria" w:cs="Arial" w:hint="cs"/>
          <w:color w:val="000000" w:themeColor="text1"/>
          <w:sz w:val="24"/>
          <w:szCs w:val="24"/>
          <w:lang w:val="en-US"/>
        </w:rPr>
        <w:t>’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 end. Students will be required to prepare a manuscript and submit for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publication. Also, in Year 3 students will enroll in special 1-hour courses, entitled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Directed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Study, to provide them with experience in a wide variety of areas related to dental education,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teaching and research. The following is a partial list of topics from which students may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select areas of interest: Accreditation, accreditation reporting, academic affairs,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committee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structure and management, clinic administration, competencies, electronic patient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records,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faculty development, faculty promotions, electronic educational media, interdisciplinary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interaction (referrals), scientific writing, strategic planning, technology in dentistry and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trends in dental education and private practice.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Students are expected to enroll in at least four (4) units of directed study course per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academic year (2 units per semester) with the approval of the supervising faculty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member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and the proposed plan for each term by the Program Director.</w:t>
      </w:r>
    </w:p>
    <w:p w14:paraId="0461EBF7" w14:textId="3DEB01C8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741C22D1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Year 4 </w:t>
      </w:r>
      <w:r w:rsidRPr="001844DC">
        <w:rPr>
          <w:rFonts w:ascii="Cambria" w:hAnsi="Cambria" w:cs="Arial" w:hint="cs"/>
          <w:color w:val="000000" w:themeColor="text1"/>
          <w:sz w:val="24"/>
          <w:szCs w:val="24"/>
          <w:lang w:val="en-US"/>
        </w:rPr>
        <w:t>–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In the fourth and final year students will fulfill all remaining didactic core and</w:t>
      </w:r>
    </w:p>
    <w:p w14:paraId="76709439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specialty course requirements, take at least four (4) additional Directed Study courses,</w:t>
      </w:r>
    </w:p>
    <w:p w14:paraId="57F348EA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complete their clinical cases (by the end of the academic year) and submit proof of</w:t>
      </w:r>
    </w:p>
    <w:p w14:paraId="2B411CBD" w14:textId="77777777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acceptance or published article from their research project in a peer-reviewed journal.</w:t>
      </w:r>
    </w:p>
    <w:p w14:paraId="14701419" w14:textId="5B74C3E0" w:rsidR="001844DC" w:rsidRPr="001844DC" w:rsidRDefault="001844DC" w:rsidP="001844DC">
      <w:pPr>
        <w:bidi/>
        <w:spacing w:after="0" w:line="240" w:lineRule="auto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76DAC07F" w14:textId="77777777" w:rsidR="001844DC" w:rsidRPr="006725A6" w:rsidRDefault="001844DC" w:rsidP="001844DC">
      <w:pPr>
        <w:bidi/>
        <w:spacing w:after="0" w:line="240" w:lineRule="auto"/>
        <w:jc w:val="right"/>
        <w:rPr>
          <w:rFonts w:ascii="Cambria" w:hAnsi="Cambria" w:cs="Arial"/>
          <w:b/>
          <w:bCs/>
          <w:color w:val="000000" w:themeColor="text1"/>
          <w:sz w:val="24"/>
          <w:szCs w:val="24"/>
          <w:u w:val="single"/>
          <w:lang w:val="en-US"/>
        </w:rPr>
      </w:pP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Summer Sessions </w:t>
      </w:r>
      <w:r w:rsidRPr="001844DC">
        <w:rPr>
          <w:rFonts w:ascii="Cambria" w:hAnsi="Cambria" w:cs="Arial" w:hint="cs"/>
          <w:color w:val="000000" w:themeColor="text1"/>
          <w:sz w:val="24"/>
          <w:szCs w:val="24"/>
          <w:lang w:val="en-US"/>
        </w:rPr>
        <w:t>–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Students will enroll in Clinical Pediatric Dentistry to provide ongoing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patient care during the summer months given the complex nature of the treatment they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will be providing. They also will provide emergency services on an as needed basis for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their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patients for the interval between the end of the Semester II and the start of Semester I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of</w:t>
      </w: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  <w:r w:rsidRPr="001844DC">
        <w:rPr>
          <w:rFonts w:ascii="Cambria" w:hAnsi="Cambria" w:cs="Arial"/>
          <w:color w:val="000000" w:themeColor="text1"/>
          <w:sz w:val="24"/>
          <w:szCs w:val="24"/>
          <w:lang w:val="en-US"/>
        </w:rPr>
        <w:t>their next year. Summer sessions also will provide additional time for research writing.</w:t>
      </w:r>
    </w:p>
    <w:p w14:paraId="407238A8" w14:textId="4117C1BF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1A9E12EE" w14:textId="78F46BAE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06D8EB8E" w14:textId="3D48EB89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6C25607F" w14:textId="4AD14A2D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38AD5E03" w14:textId="1812EF32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08DA75FE" w14:textId="6DFC6AC2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09B48881" w14:textId="501917F2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54F912E5" w14:textId="6DE584DE" w:rsidR="001844DC" w:rsidRPr="001844DC" w:rsidRDefault="001844DC" w:rsidP="001844DC">
      <w:pPr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2602882B" w14:textId="7256D000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2CB9DC29" w14:textId="4A2E9963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168F55FD" w14:textId="713FD5AD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7ABD008E" w14:textId="13E28150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27D4EF9E" w14:textId="3FCB513B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172C735F" w14:textId="17412C8F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p w14:paraId="1738A28B" w14:textId="2B847916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  <w:r>
        <w:rPr>
          <w:rFonts w:ascii="Cambria" w:hAnsi="Cambria" w:cs="Arial"/>
          <w:color w:val="000000" w:themeColor="text1"/>
          <w:sz w:val="24"/>
          <w:szCs w:val="24"/>
          <w:lang w:val="en-US"/>
        </w:rPr>
        <w:t xml:space="preserve"> </w:t>
      </w:r>
    </w:p>
    <w:p w14:paraId="55674C54" w14:textId="58848AE4" w:rsidR="001844DC" w:rsidRPr="001844DC" w:rsidRDefault="001844DC" w:rsidP="001844DC">
      <w:pPr>
        <w:bidi/>
        <w:spacing w:after="0" w:line="240" w:lineRule="auto"/>
        <w:jc w:val="right"/>
        <w:rPr>
          <w:rFonts w:ascii="Cambria" w:hAnsi="Cambria" w:cs="Arial"/>
          <w:color w:val="000000" w:themeColor="text1"/>
          <w:sz w:val="24"/>
          <w:szCs w:val="24"/>
          <w:lang w:val="en-US"/>
        </w:rPr>
      </w:pPr>
    </w:p>
    <w:sectPr w:rsidR="001844DC" w:rsidRPr="001844DC" w:rsidSect="002C497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4DF4B" w14:textId="77777777" w:rsidR="00BD7A0A" w:rsidRDefault="00BD7A0A" w:rsidP="00766C3E">
      <w:pPr>
        <w:spacing w:after="0" w:line="240" w:lineRule="auto"/>
      </w:pPr>
      <w:r>
        <w:separator/>
      </w:r>
    </w:p>
  </w:endnote>
  <w:endnote w:type="continuationSeparator" w:id="0">
    <w:p w14:paraId="634D7E21" w14:textId="77777777" w:rsidR="00BD7A0A" w:rsidRDefault="00BD7A0A" w:rsidP="0076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byScriptExtra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418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CB16C" w14:textId="7C05979C" w:rsidR="00B00A08" w:rsidRDefault="00B00A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693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14:paraId="26D2E23B" w14:textId="77777777" w:rsidR="00766C3E" w:rsidRDefault="00766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55248" w14:textId="77777777" w:rsidR="00BD7A0A" w:rsidRDefault="00BD7A0A" w:rsidP="00766C3E">
      <w:pPr>
        <w:spacing w:after="0" w:line="240" w:lineRule="auto"/>
      </w:pPr>
      <w:r>
        <w:separator/>
      </w:r>
    </w:p>
  </w:footnote>
  <w:footnote w:type="continuationSeparator" w:id="0">
    <w:p w14:paraId="710CF21E" w14:textId="77777777" w:rsidR="00BD7A0A" w:rsidRDefault="00BD7A0A" w:rsidP="0076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2A69" w14:textId="1C2DA21F" w:rsidR="003E2C47" w:rsidRDefault="003E2C47" w:rsidP="003E40DF">
    <w:pPr>
      <w:pStyle w:val="Header"/>
      <w:ind w:left="2520" w:firstLine="3960"/>
      <w:jc w:val="right"/>
    </w:pPr>
    <w:r>
      <w:rPr>
        <w:rFonts w:ascii="Calibri" w:hAnsi="Calibri"/>
        <w:noProof/>
        <w:color w:val="FFFFFF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84EE05" wp14:editId="0B10E264">
              <wp:simplePos x="0" y="0"/>
              <wp:positionH relativeFrom="column">
                <wp:posOffset>-509905</wp:posOffset>
              </wp:positionH>
              <wp:positionV relativeFrom="paragraph">
                <wp:posOffset>-15571</wp:posOffset>
              </wp:positionV>
              <wp:extent cx="6870700" cy="190500"/>
              <wp:effectExtent l="0" t="0" r="635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0700" cy="190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89F2AA" id="Rectangle 2" o:spid="_x0000_s1026" style="position:absolute;margin-left:-40.15pt;margin-top:-1.25pt;width:541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" fillcolor="#1f3763 [1604]" stroked="f"/>
          </w:pict>
        </mc:Fallback>
      </mc:AlternateContent>
    </w:r>
    <w:r w:rsidR="0064360B" w:rsidRPr="0064360B">
      <w:rPr>
        <w:rFonts w:ascii="Calibri" w:hAnsi="Calibri"/>
        <w:color w:val="FFFFFF"/>
        <w:sz w:val="18"/>
        <w:szCs w:val="18"/>
      </w:rPr>
      <w:t xml:space="preserve">Fellowship in </w:t>
    </w:r>
    <w:r w:rsidR="003E40DF" w:rsidRPr="003E40DF">
      <w:rPr>
        <w:rFonts w:ascii="Calibri" w:hAnsi="Calibri"/>
        <w:b/>
        <w:bCs/>
        <w:color w:val="FFFFFF"/>
        <w:sz w:val="18"/>
        <w:szCs w:val="18"/>
      </w:rPr>
      <w:t>Pediatric Dentistry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13FA"/>
    <w:multiLevelType w:val="hybridMultilevel"/>
    <w:tmpl w:val="A7EA45AC"/>
    <w:lvl w:ilvl="0" w:tplc="B43AB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614B"/>
    <w:multiLevelType w:val="hybridMultilevel"/>
    <w:tmpl w:val="7DE66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099"/>
    <w:multiLevelType w:val="hybridMultilevel"/>
    <w:tmpl w:val="59766270"/>
    <w:lvl w:ilvl="0" w:tplc="1EDC2204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C2EE5"/>
    <w:multiLevelType w:val="hybridMultilevel"/>
    <w:tmpl w:val="9BC8EC2A"/>
    <w:lvl w:ilvl="0" w:tplc="07F8187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36157"/>
    <w:multiLevelType w:val="hybridMultilevel"/>
    <w:tmpl w:val="0CF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F2EC7"/>
    <w:multiLevelType w:val="hybridMultilevel"/>
    <w:tmpl w:val="A856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A515A"/>
    <w:multiLevelType w:val="hybridMultilevel"/>
    <w:tmpl w:val="5476A47C"/>
    <w:lvl w:ilvl="0" w:tplc="07F81874">
      <w:start w:val="1"/>
      <w:numFmt w:val="decimal"/>
      <w:lvlText w:val="%1-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C86E6E"/>
    <w:multiLevelType w:val="hybridMultilevel"/>
    <w:tmpl w:val="7EA613E0"/>
    <w:lvl w:ilvl="0" w:tplc="6AB89F9C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20FA6"/>
    <w:multiLevelType w:val="hybridMultilevel"/>
    <w:tmpl w:val="6344AFB6"/>
    <w:lvl w:ilvl="0" w:tplc="07F8187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3647B"/>
    <w:multiLevelType w:val="hybridMultilevel"/>
    <w:tmpl w:val="2C24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89B"/>
    <w:rsid w:val="00034A24"/>
    <w:rsid w:val="00063E6A"/>
    <w:rsid w:val="000752BC"/>
    <w:rsid w:val="000D5A4F"/>
    <w:rsid w:val="000E62FB"/>
    <w:rsid w:val="000F0374"/>
    <w:rsid w:val="000F56E0"/>
    <w:rsid w:val="00126888"/>
    <w:rsid w:val="0014034B"/>
    <w:rsid w:val="00154727"/>
    <w:rsid w:val="001557F6"/>
    <w:rsid w:val="00156CB3"/>
    <w:rsid w:val="001704D2"/>
    <w:rsid w:val="00176D4C"/>
    <w:rsid w:val="001844DC"/>
    <w:rsid w:val="00195C18"/>
    <w:rsid w:val="001E644F"/>
    <w:rsid w:val="001F7BFA"/>
    <w:rsid w:val="00214664"/>
    <w:rsid w:val="00224136"/>
    <w:rsid w:val="0023034A"/>
    <w:rsid w:val="002372AE"/>
    <w:rsid w:val="0029279D"/>
    <w:rsid w:val="00297A4D"/>
    <w:rsid w:val="002A537C"/>
    <w:rsid w:val="002C4978"/>
    <w:rsid w:val="002E489B"/>
    <w:rsid w:val="002F5D21"/>
    <w:rsid w:val="00313566"/>
    <w:rsid w:val="00327E35"/>
    <w:rsid w:val="003307EB"/>
    <w:rsid w:val="00392AD1"/>
    <w:rsid w:val="003938D4"/>
    <w:rsid w:val="00397324"/>
    <w:rsid w:val="003A1D23"/>
    <w:rsid w:val="003E09E3"/>
    <w:rsid w:val="003E2C47"/>
    <w:rsid w:val="003E40DF"/>
    <w:rsid w:val="003F4BC3"/>
    <w:rsid w:val="00434634"/>
    <w:rsid w:val="004A4570"/>
    <w:rsid w:val="004C7EEF"/>
    <w:rsid w:val="004F077F"/>
    <w:rsid w:val="00530729"/>
    <w:rsid w:val="00536BAF"/>
    <w:rsid w:val="005441A3"/>
    <w:rsid w:val="00551520"/>
    <w:rsid w:val="00580583"/>
    <w:rsid w:val="00587388"/>
    <w:rsid w:val="005968D3"/>
    <w:rsid w:val="005F0AE1"/>
    <w:rsid w:val="005F7DCE"/>
    <w:rsid w:val="00627004"/>
    <w:rsid w:val="0064360B"/>
    <w:rsid w:val="0065306C"/>
    <w:rsid w:val="006725A6"/>
    <w:rsid w:val="00674975"/>
    <w:rsid w:val="0070782D"/>
    <w:rsid w:val="0071128D"/>
    <w:rsid w:val="007334FC"/>
    <w:rsid w:val="00736112"/>
    <w:rsid w:val="00744A02"/>
    <w:rsid w:val="00753B65"/>
    <w:rsid w:val="007630DA"/>
    <w:rsid w:val="007642AE"/>
    <w:rsid w:val="00766C3E"/>
    <w:rsid w:val="0078537F"/>
    <w:rsid w:val="007B2D60"/>
    <w:rsid w:val="007B2F08"/>
    <w:rsid w:val="007C1961"/>
    <w:rsid w:val="007D799D"/>
    <w:rsid w:val="007E3EB0"/>
    <w:rsid w:val="007F0D03"/>
    <w:rsid w:val="00803DAA"/>
    <w:rsid w:val="00806084"/>
    <w:rsid w:val="00816FB1"/>
    <w:rsid w:val="008237D4"/>
    <w:rsid w:val="00837701"/>
    <w:rsid w:val="00843D61"/>
    <w:rsid w:val="0088481B"/>
    <w:rsid w:val="008877EA"/>
    <w:rsid w:val="008C43B1"/>
    <w:rsid w:val="008D6EAB"/>
    <w:rsid w:val="00902D1A"/>
    <w:rsid w:val="0091405D"/>
    <w:rsid w:val="00937C9B"/>
    <w:rsid w:val="00944A5A"/>
    <w:rsid w:val="00951B7E"/>
    <w:rsid w:val="00957BA4"/>
    <w:rsid w:val="00966067"/>
    <w:rsid w:val="00972BC8"/>
    <w:rsid w:val="00985CA3"/>
    <w:rsid w:val="009D0EFB"/>
    <w:rsid w:val="00A7622F"/>
    <w:rsid w:val="00A864D7"/>
    <w:rsid w:val="00A875E3"/>
    <w:rsid w:val="00AE1E65"/>
    <w:rsid w:val="00AE30B1"/>
    <w:rsid w:val="00AE6D79"/>
    <w:rsid w:val="00B00A08"/>
    <w:rsid w:val="00B06920"/>
    <w:rsid w:val="00B30471"/>
    <w:rsid w:val="00B3095C"/>
    <w:rsid w:val="00B309E4"/>
    <w:rsid w:val="00B3164C"/>
    <w:rsid w:val="00B362A7"/>
    <w:rsid w:val="00B55B9C"/>
    <w:rsid w:val="00B81B8B"/>
    <w:rsid w:val="00BA2E3C"/>
    <w:rsid w:val="00BD7A0A"/>
    <w:rsid w:val="00BE19D9"/>
    <w:rsid w:val="00BF0B03"/>
    <w:rsid w:val="00BF35FA"/>
    <w:rsid w:val="00C0015D"/>
    <w:rsid w:val="00C10618"/>
    <w:rsid w:val="00C27D73"/>
    <w:rsid w:val="00C40CB8"/>
    <w:rsid w:val="00C717AD"/>
    <w:rsid w:val="00CC0B00"/>
    <w:rsid w:val="00CC6A91"/>
    <w:rsid w:val="00CD127D"/>
    <w:rsid w:val="00CD4A42"/>
    <w:rsid w:val="00CD6B5F"/>
    <w:rsid w:val="00D02064"/>
    <w:rsid w:val="00D208D4"/>
    <w:rsid w:val="00D63B44"/>
    <w:rsid w:val="00D75B3B"/>
    <w:rsid w:val="00DA4A12"/>
    <w:rsid w:val="00DB4CA9"/>
    <w:rsid w:val="00DC7D30"/>
    <w:rsid w:val="00DF201A"/>
    <w:rsid w:val="00DF2A16"/>
    <w:rsid w:val="00DF3580"/>
    <w:rsid w:val="00E13323"/>
    <w:rsid w:val="00E13FB8"/>
    <w:rsid w:val="00E21737"/>
    <w:rsid w:val="00E4142C"/>
    <w:rsid w:val="00E446CF"/>
    <w:rsid w:val="00E531EA"/>
    <w:rsid w:val="00E73693"/>
    <w:rsid w:val="00E8549E"/>
    <w:rsid w:val="00EE5411"/>
    <w:rsid w:val="00F1624A"/>
    <w:rsid w:val="00F445A5"/>
    <w:rsid w:val="00F56E25"/>
    <w:rsid w:val="00F82EC9"/>
    <w:rsid w:val="00F83494"/>
    <w:rsid w:val="00F92241"/>
    <w:rsid w:val="00F9657A"/>
    <w:rsid w:val="00FA69DA"/>
    <w:rsid w:val="00FA7AF8"/>
    <w:rsid w:val="00FB5202"/>
    <w:rsid w:val="00FC1A41"/>
    <w:rsid w:val="00FE02E9"/>
    <w:rsid w:val="00FE0F84"/>
    <w:rsid w:val="00FE5355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BFBC"/>
  <w15:docId w15:val="{C67CBC92-719C-4A9A-9657-0C4B981F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985CA3"/>
  </w:style>
  <w:style w:type="paragraph" w:styleId="ListParagraph">
    <w:name w:val="List Paragraph"/>
    <w:basedOn w:val="Normal"/>
    <w:uiPriority w:val="34"/>
    <w:qFormat/>
    <w:rsid w:val="00BF0B03"/>
    <w:pPr>
      <w:ind w:left="720"/>
      <w:contextualSpacing/>
    </w:pPr>
  </w:style>
  <w:style w:type="table" w:styleId="TableGrid">
    <w:name w:val="Table Grid"/>
    <w:basedOn w:val="TableNormal"/>
    <w:uiPriority w:val="39"/>
    <w:rsid w:val="00CD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"/>
    <w:basedOn w:val="Normal"/>
    <w:link w:val="HeaderChar"/>
    <w:uiPriority w:val="99"/>
    <w:unhideWhenUsed/>
    <w:rsid w:val="0076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766C3E"/>
  </w:style>
  <w:style w:type="paragraph" w:styleId="Footer">
    <w:name w:val="footer"/>
    <w:basedOn w:val="Normal"/>
    <w:link w:val="FooterChar"/>
    <w:uiPriority w:val="99"/>
    <w:unhideWhenUsed/>
    <w:rsid w:val="0076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C3E"/>
  </w:style>
  <w:style w:type="table" w:styleId="LightList-Accent1">
    <w:name w:val="Light List Accent 1"/>
    <w:basedOn w:val="TableNormal"/>
    <w:uiPriority w:val="61"/>
    <w:rsid w:val="005F7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1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6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9368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698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4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23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4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36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5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077968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1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56878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97152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43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6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25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5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54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6524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7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1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56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5267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38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3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7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8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0262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2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7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8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16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6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92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65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6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1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63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143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8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64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3081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38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2505-DE71-4A3B-A6D5-570656E9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Bahgat</dc:creator>
  <cp:lastModifiedBy>Ashwin Shetty Yermal</cp:lastModifiedBy>
  <cp:revision>17</cp:revision>
  <cp:lastPrinted>2018-01-25T08:29:00Z</cp:lastPrinted>
  <dcterms:created xsi:type="dcterms:W3CDTF">2018-01-25T08:28:00Z</dcterms:created>
  <dcterms:modified xsi:type="dcterms:W3CDTF">2021-11-07T11:28:00Z</dcterms:modified>
</cp:coreProperties>
</file>